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9C" w:rsidRDefault="008B569C">
      <w:pPr>
        <w:widowControl/>
        <w:jc w:val="both"/>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IN  THE  CIRCUIT  COURT  OF  THE  TWENTIETH  JUDICIAL  CIRCUIT  IN </w:t>
      </w:r>
      <w:r w:rsidR="00924C45">
        <w:rPr>
          <w:sz w:val="24"/>
          <w:szCs w:val="24"/>
        </w:rPr>
        <w:t xml:space="preserve"> AND  FOR LEE COUNTY, FLORIDA</w:t>
      </w:r>
      <w:r>
        <w:rPr>
          <w:sz w:val="24"/>
          <w:szCs w:val="24"/>
        </w:rPr>
        <w:t xml:space="preserve">                             </w:t>
      </w:r>
      <w:r w:rsidR="00CE3660">
        <w:rPr>
          <w:sz w:val="24"/>
          <w:szCs w:val="24"/>
        </w:rPr>
        <w:t xml:space="preserve"> </w:t>
      </w:r>
      <w:r>
        <w:rPr>
          <w:sz w:val="24"/>
          <w:szCs w:val="24"/>
        </w:rPr>
        <w:t>CIVIL DIVISION</w:t>
      </w:r>
    </w:p>
    <w:p w:rsidR="008B569C" w:rsidRDefault="008B569C">
      <w:pPr>
        <w:widowControl/>
        <w:rPr>
          <w:sz w:val="24"/>
          <w:szCs w:val="24"/>
        </w:rPr>
      </w:pPr>
      <w:r>
        <w:rPr>
          <w:sz w:val="24"/>
          <w:szCs w:val="24"/>
          <w:u w:val="single"/>
        </w:rPr>
        <w:t xml:space="preserve">                                                                                                                                                       </w:t>
      </w:r>
    </w:p>
    <w:p w:rsidR="008B569C" w:rsidRDefault="008B569C">
      <w:pPr>
        <w:widowControl/>
        <w:rPr>
          <w:sz w:val="24"/>
          <w:szCs w:val="24"/>
        </w:rPr>
      </w:pPr>
    </w:p>
    <w:p w:rsidR="00BE5471" w:rsidRDefault="00BE5471">
      <w:pPr>
        <w:widowControl/>
        <w:rPr>
          <w:sz w:val="24"/>
          <w:szCs w:val="24"/>
        </w:rPr>
      </w:pPr>
    </w:p>
    <w:p w:rsidR="008B569C" w:rsidRDefault="008B569C">
      <w:pPr>
        <w:widowControl/>
        <w:rPr>
          <w:sz w:val="24"/>
          <w:szCs w:val="24"/>
        </w:rPr>
      </w:pPr>
    </w:p>
    <w:p w:rsidR="008B569C" w:rsidRDefault="008B569C">
      <w:pPr>
        <w:widowControl/>
        <w:rPr>
          <w:sz w:val="24"/>
          <w:szCs w:val="24"/>
        </w:rPr>
      </w:pPr>
      <w:r>
        <w:rPr>
          <w:sz w:val="24"/>
          <w:szCs w:val="24"/>
        </w:rPr>
        <w:tab/>
      </w:r>
      <w:r>
        <w:rPr>
          <w:sz w:val="24"/>
          <w:szCs w:val="24"/>
        </w:rPr>
        <w:tab/>
        <w:t>Plaintiff(s),</w:t>
      </w:r>
    </w:p>
    <w:p w:rsidR="008B569C" w:rsidRDefault="00BE54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5760" w:hanging="5760"/>
        <w:rPr>
          <w:sz w:val="24"/>
          <w:szCs w:val="24"/>
        </w:rPr>
      </w:pPr>
      <w:proofErr w:type="gramStart"/>
      <w:r>
        <w:rPr>
          <w:sz w:val="24"/>
          <w:szCs w:val="24"/>
        </w:rPr>
        <w:t>vs</w:t>
      </w:r>
      <w:proofErr w:type="gramEnd"/>
    </w:p>
    <w:p w:rsidR="008B569C" w:rsidRDefault="008B569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5760" w:hanging="57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Case Number:  </w:t>
      </w:r>
    </w:p>
    <w:p w:rsidR="008B569C" w:rsidRDefault="008B569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5760" w:hanging="57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8B569C" w:rsidRDefault="008B569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firstLine="720"/>
        <w:rPr>
          <w:sz w:val="24"/>
          <w:szCs w:val="24"/>
        </w:rPr>
      </w:pPr>
      <w:r>
        <w:rPr>
          <w:sz w:val="24"/>
          <w:szCs w:val="24"/>
        </w:rPr>
        <w:t>Defendant(s).</w:t>
      </w:r>
    </w:p>
    <w:p w:rsidR="008B569C" w:rsidRDefault="008B569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w:t>
      </w:r>
    </w:p>
    <w:p w:rsidR="008B569C" w:rsidRDefault="008B569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8B569C" w:rsidRDefault="008B569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
          <w:bCs/>
          <w:sz w:val="24"/>
          <w:szCs w:val="24"/>
          <w:u w:val="single"/>
        </w:rPr>
      </w:pPr>
      <w:r>
        <w:rPr>
          <w:b/>
          <w:bCs/>
          <w:sz w:val="24"/>
          <w:szCs w:val="24"/>
          <w:u w:val="single"/>
        </w:rPr>
        <w:t>ORDER GRANTING LEAVE TO WITHDRAW AS ATTORNEY OF RECORD</w:t>
      </w:r>
    </w:p>
    <w:p w:rsidR="008B569C" w:rsidRDefault="008B569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
          <w:bCs/>
          <w:sz w:val="24"/>
          <w:szCs w:val="24"/>
        </w:rPr>
      </w:pPr>
      <w:r>
        <w:rPr>
          <w:b/>
          <w:bCs/>
          <w:sz w:val="24"/>
          <w:szCs w:val="24"/>
          <w:u w:val="single"/>
        </w:rPr>
        <w:t>AND SETTING CASE MANAGEMENT CONFERENCE</w:t>
      </w:r>
    </w:p>
    <w:p w:rsidR="008B569C" w:rsidRDefault="008B569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60" w:lineRule="auto"/>
        <w:rPr>
          <w:sz w:val="24"/>
          <w:szCs w:val="24"/>
        </w:rPr>
      </w:pPr>
    </w:p>
    <w:p w:rsidR="008B569C" w:rsidRDefault="008B569C" w:rsidP="003E34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r>
        <w:rPr>
          <w:sz w:val="24"/>
          <w:szCs w:val="24"/>
        </w:rPr>
        <w:tab/>
        <w:t>THIS CAUSE having come before the Court for hearing upon Plaintiff’s counsel’s Motion for Leave to Withdraw as Attorney of Record for Plaintiff,</w:t>
      </w:r>
      <w:r w:rsidR="003E3431">
        <w:rPr>
          <w:sz w:val="24"/>
          <w:szCs w:val="24"/>
        </w:rPr>
        <w:t xml:space="preserve"> </w:t>
      </w:r>
      <w:r w:rsidR="00BE5471">
        <w:rPr>
          <w:sz w:val="24"/>
          <w:szCs w:val="24"/>
        </w:rPr>
        <w:t>_______________</w:t>
      </w:r>
      <w:r>
        <w:rPr>
          <w:sz w:val="24"/>
          <w:szCs w:val="24"/>
        </w:rPr>
        <w:t>, in the above-styled cause and the Court having reviewed</w:t>
      </w:r>
      <w:r w:rsidR="003E3431">
        <w:rPr>
          <w:sz w:val="24"/>
          <w:szCs w:val="24"/>
        </w:rPr>
        <w:t xml:space="preserve"> the pleadings, heard argument, </w:t>
      </w:r>
      <w:r>
        <w:rPr>
          <w:sz w:val="24"/>
          <w:szCs w:val="24"/>
        </w:rPr>
        <w:t>and being otherwise fully advised in the premises, does hereby</w:t>
      </w:r>
    </w:p>
    <w:p w:rsidR="008B569C" w:rsidRDefault="008B569C" w:rsidP="003E34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p>
    <w:p w:rsidR="008B569C" w:rsidRDefault="008B569C" w:rsidP="003E34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60" w:lineRule="auto"/>
        <w:jc w:val="both"/>
        <w:rPr>
          <w:sz w:val="24"/>
          <w:szCs w:val="24"/>
        </w:rPr>
      </w:pPr>
      <w:r>
        <w:rPr>
          <w:sz w:val="24"/>
          <w:szCs w:val="24"/>
        </w:rPr>
        <w:tab/>
        <w:t>FIND, ORDER, and ADJUDICATE:</w:t>
      </w:r>
    </w:p>
    <w:p w:rsidR="008B569C" w:rsidRDefault="008B569C" w:rsidP="003E34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r>
        <w:rPr>
          <w:b/>
          <w:bCs/>
          <w:sz w:val="24"/>
          <w:szCs w:val="24"/>
        </w:rPr>
        <w:tab/>
      </w:r>
      <w:r w:rsidR="00BE5471">
        <w:rPr>
          <w:b/>
          <w:bCs/>
          <w:sz w:val="24"/>
          <w:szCs w:val="24"/>
        </w:rPr>
        <w:t>_____________________________</w:t>
      </w:r>
      <w:r w:rsidR="003E3431">
        <w:rPr>
          <w:b/>
          <w:bCs/>
          <w:sz w:val="24"/>
          <w:szCs w:val="24"/>
        </w:rPr>
        <w:t>,</w:t>
      </w:r>
      <w:r>
        <w:rPr>
          <w:sz w:val="24"/>
          <w:szCs w:val="24"/>
        </w:rPr>
        <w:t xml:space="preserve"> is permitted to withdraw as attorney/counsel of record for Plaintiff,</w:t>
      </w:r>
      <w:r w:rsidR="003E3431">
        <w:rPr>
          <w:sz w:val="24"/>
          <w:szCs w:val="24"/>
        </w:rPr>
        <w:t xml:space="preserve"> </w:t>
      </w:r>
      <w:r w:rsidR="00BE5471">
        <w:rPr>
          <w:sz w:val="24"/>
          <w:szCs w:val="24"/>
        </w:rPr>
        <w:t>_________________</w:t>
      </w:r>
      <w:r>
        <w:rPr>
          <w:sz w:val="24"/>
          <w:szCs w:val="24"/>
        </w:rPr>
        <w:t>, in the above-styled case and is relieved of any further action in this case.  In consequence thereof, Plaintiff,</w:t>
      </w:r>
      <w:r w:rsidR="003E3431">
        <w:rPr>
          <w:sz w:val="24"/>
          <w:szCs w:val="24"/>
        </w:rPr>
        <w:t xml:space="preserve"> </w:t>
      </w:r>
      <w:r w:rsidR="00BE5471">
        <w:rPr>
          <w:sz w:val="24"/>
          <w:szCs w:val="24"/>
        </w:rPr>
        <w:t>_________________________</w:t>
      </w:r>
      <w:r>
        <w:rPr>
          <w:b/>
          <w:bCs/>
          <w:sz w:val="24"/>
          <w:szCs w:val="24"/>
        </w:rPr>
        <w:t xml:space="preserve">, </w:t>
      </w:r>
      <w:r>
        <w:rPr>
          <w:sz w:val="24"/>
          <w:szCs w:val="24"/>
        </w:rPr>
        <w:t>is now deemed a pro se (self-representing) litigant.</w:t>
      </w:r>
    </w:p>
    <w:p w:rsidR="008B569C" w:rsidRDefault="008B569C" w:rsidP="003E34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p>
    <w:p w:rsidR="008B569C" w:rsidRDefault="008B569C" w:rsidP="003E34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r>
        <w:rPr>
          <w:sz w:val="24"/>
          <w:szCs w:val="24"/>
        </w:rPr>
        <w:tab/>
        <w:t>All further communications shall be directed to</w:t>
      </w:r>
      <w:r w:rsidR="003E3431">
        <w:rPr>
          <w:sz w:val="24"/>
          <w:szCs w:val="24"/>
        </w:rPr>
        <w:t xml:space="preserve"> </w:t>
      </w:r>
      <w:r w:rsidR="00BE5471">
        <w:rPr>
          <w:sz w:val="24"/>
          <w:szCs w:val="24"/>
        </w:rPr>
        <w:t xml:space="preserve">_________________ </w:t>
      </w:r>
      <w:r>
        <w:rPr>
          <w:sz w:val="24"/>
          <w:szCs w:val="24"/>
        </w:rPr>
        <w:t>at the following address and telephone number as provided by withdrawing counsel:</w:t>
      </w:r>
    </w:p>
    <w:p w:rsidR="008B569C" w:rsidRDefault="008B569C" w:rsidP="003E34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r>
        <w:rPr>
          <w:sz w:val="24"/>
          <w:szCs w:val="24"/>
        </w:rPr>
        <w:tab/>
      </w:r>
    </w:p>
    <w:p w:rsidR="008B569C" w:rsidRDefault="008B569C" w:rsidP="003E3431">
      <w:pPr>
        <w:widowControl/>
        <w:tabs>
          <w:tab w:val="left" w:pos="-144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s>
        <w:ind w:left="900" w:right="810"/>
        <w:jc w:val="both"/>
        <w:rPr>
          <w:sz w:val="24"/>
          <w:szCs w:val="24"/>
        </w:rPr>
      </w:pPr>
    </w:p>
    <w:p w:rsidR="003E3431" w:rsidRDefault="003E3431" w:rsidP="003E343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p>
    <w:p w:rsidR="008B569C" w:rsidRDefault="008B569C" w:rsidP="003E3431">
      <w:pPr>
        <w:pStyle w:val="levnl12"/>
        <w:widowControl/>
        <w:numPr>
          <w:ilvl w:val="0"/>
          <w:numId w:val="1"/>
        </w:numPr>
        <w:tabs>
          <w:tab w:val="clear" w:pos="-1440"/>
          <w:tab w:val="clear" w:pos="-720"/>
          <w:tab w:val="clear" w:pos="0"/>
          <w:tab w:val="clear" w:pos="720"/>
          <w:tab w:val="left" w:pos="1080"/>
        </w:tabs>
        <w:ind w:left="1080"/>
      </w:pPr>
      <w:r>
        <w:t xml:space="preserve">A </w:t>
      </w:r>
      <w:r>
        <w:rPr>
          <w:i/>
          <w:iCs/>
        </w:rPr>
        <w:t>pro se</w:t>
      </w:r>
      <w:r>
        <w:t xml:space="preserve"> party must be held to the same standards as an attorney by operation of law.  The Court cannot give any legal advice to a </w:t>
      </w:r>
      <w:r>
        <w:rPr>
          <w:i/>
          <w:iCs/>
        </w:rPr>
        <w:t>pro se</w:t>
      </w:r>
      <w:r>
        <w:t xml:space="preserve"> litigant.  It is a </w:t>
      </w:r>
      <w:r>
        <w:rPr>
          <w:i/>
          <w:iCs/>
        </w:rPr>
        <w:t>pro se</w:t>
      </w:r>
      <w:r>
        <w:t xml:space="preserve"> litigant’s responsibility to familiarize him/herself with the law applicable to their case, the legal rules (</w:t>
      </w:r>
      <w:proofErr w:type="spellStart"/>
      <w:r>
        <w:t>eg</w:t>
      </w:r>
      <w:proofErr w:type="spellEnd"/>
      <w:r>
        <w:t xml:space="preserve">. </w:t>
      </w:r>
      <w:r>
        <w:rPr>
          <w:i/>
          <w:iCs/>
          <w:u w:val="single"/>
        </w:rPr>
        <w:t>Florida Rules of Court</w:t>
      </w:r>
      <w:r>
        <w:t>), the Evidence Code, court records (</w:t>
      </w:r>
      <w:proofErr w:type="spellStart"/>
      <w:r>
        <w:t>eg</w:t>
      </w:r>
      <w:proofErr w:type="spellEnd"/>
      <w:r>
        <w:t xml:space="preserve">. orders), and anything else applicable to the case.  Failure to follow law, rules, orders of the Court, et cetera may result in adverse consequences for a non-compliant </w:t>
      </w:r>
      <w:r>
        <w:rPr>
          <w:i/>
          <w:iCs/>
        </w:rPr>
        <w:t>pro se</w:t>
      </w:r>
      <w:r>
        <w:t xml:space="preserve"> litigant, including but not limited to the entry of an order imposing sanctions, fees, fines, court costs, default, dismissal, and/or such other relief as the Court deems appropriate and the law permits.</w:t>
      </w:r>
      <w:r>
        <w:tab/>
      </w:r>
      <w:r>
        <w:tab/>
      </w:r>
      <w:r>
        <w:tab/>
      </w:r>
    </w:p>
    <w:p w:rsidR="008B569C" w:rsidRDefault="008B569C" w:rsidP="00BE24E2">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p>
    <w:p w:rsidR="008B569C" w:rsidRDefault="008B569C" w:rsidP="00BE24E2">
      <w:pPr>
        <w:pStyle w:val="levnl12"/>
        <w:widowControl/>
        <w:numPr>
          <w:ilvl w:val="0"/>
          <w:numId w:val="1"/>
        </w:numPr>
        <w:tabs>
          <w:tab w:val="clear" w:pos="-1440"/>
          <w:tab w:val="clear" w:pos="-720"/>
          <w:tab w:val="clear" w:pos="0"/>
          <w:tab w:val="clear" w:pos="720"/>
          <w:tab w:val="left" w:pos="1080"/>
        </w:tabs>
        <w:ind w:left="1080"/>
      </w:pPr>
      <w:r>
        <w:t>Plaintiff,</w:t>
      </w:r>
      <w:r w:rsidR="003E3431">
        <w:t xml:space="preserve"> </w:t>
      </w:r>
      <w:r w:rsidR="00BE5471">
        <w:t>__________________</w:t>
      </w:r>
      <w:r>
        <w:t xml:space="preserve">, shall have thirty (30) days from the date of this order to retain new counsel.  All pending matters in this cause are temporarily stayed or otherwise abated for said period.  Said period shall expire early in the event the </w:t>
      </w:r>
      <w:r>
        <w:rPr>
          <w:i/>
          <w:iCs/>
        </w:rPr>
        <w:t xml:space="preserve">pro </w:t>
      </w:r>
      <w:r>
        <w:rPr>
          <w:i/>
          <w:iCs/>
        </w:rPr>
        <w:lastRenderedPageBreak/>
        <w:t>se</w:t>
      </w:r>
      <w:r>
        <w:t xml:space="preserve"> party files a notice of intention to represent him/herself during the thirty (30) day period or if a licensed attorney in good standing authorized to practice law in the State of Florida files a notice of appearance or other pleading on the party’s behalf.</w:t>
      </w:r>
      <w:r>
        <w:tab/>
      </w:r>
      <w:r>
        <w:tab/>
      </w:r>
      <w:r>
        <w:tab/>
      </w:r>
    </w:p>
    <w:p w:rsidR="008B569C" w:rsidRDefault="008B569C" w:rsidP="00BE24E2">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8B569C" w:rsidRDefault="008B569C" w:rsidP="00BE24E2">
      <w:pPr>
        <w:pStyle w:val="levnl12"/>
        <w:widowControl/>
        <w:numPr>
          <w:ilvl w:val="0"/>
          <w:numId w:val="1"/>
        </w:numPr>
        <w:tabs>
          <w:tab w:val="clear" w:pos="-1440"/>
          <w:tab w:val="clear" w:pos="-720"/>
          <w:tab w:val="clear" w:pos="0"/>
          <w:tab w:val="clear" w:pos="720"/>
          <w:tab w:val="left" w:pos="1080"/>
        </w:tabs>
        <w:ind w:left="1080"/>
      </w:pPr>
      <w:r>
        <w:t xml:space="preserve">In the event new counsel does not file a notice of appearance or other pleading during the next thirty (30) days, the above referenced party shall be deemed a </w:t>
      </w:r>
      <w:r>
        <w:rPr>
          <w:i/>
          <w:iCs/>
        </w:rPr>
        <w:t>pro se</w:t>
      </w:r>
      <w:r>
        <w:t xml:space="preserve"> litigant and the case shall normally proceed after the thirty (30) day stay/abatement period has passed.  This provision does not apply to a corporate entity, however, as Florida law only allows an individual proper person to represent oneself.  In the event a corporate entity fails to timely secure counsel along with a timely filed notice of appearance, for example, said party may be subjected to entry of a dismissal of its claims (if any) and/or the striking of its answer and defenses along with the entry of an adverse (default) judgment against it.  </w:t>
      </w:r>
      <w:r>
        <w:tab/>
      </w:r>
    </w:p>
    <w:p w:rsidR="008B569C" w:rsidRDefault="008B569C" w:rsidP="00BE24E2">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p>
    <w:p w:rsidR="00BE24E2" w:rsidRDefault="00BE24E2" w:rsidP="00A159D0">
      <w:pPr>
        <w:pStyle w:val="levnl12"/>
        <w:widowControl/>
        <w:numPr>
          <w:ilvl w:val="0"/>
          <w:numId w:val="1"/>
        </w:numPr>
        <w:tabs>
          <w:tab w:val="clear" w:pos="-1440"/>
          <w:tab w:val="clear" w:pos="-720"/>
          <w:tab w:val="clear" w:pos="0"/>
          <w:tab w:val="clear" w:pos="720"/>
          <w:tab w:val="left" w:pos="1080"/>
        </w:tabs>
        <w:ind w:left="1080"/>
      </w:pPr>
      <w:r>
        <w:t>Plaintiff,</w:t>
      </w:r>
      <w:r w:rsidR="00BE5471">
        <w:t xml:space="preserve"> __________________</w:t>
      </w:r>
      <w:r w:rsidR="003E3431">
        <w:t>,</w:t>
      </w:r>
      <w:r w:rsidR="008B569C">
        <w:t xml:space="preserve"> must appear by zoom at a Case Management                    Conference for this cause scheduled for </w:t>
      </w:r>
      <w:r w:rsidR="003E3431">
        <w:rPr>
          <w:b/>
          <w:bCs/>
        </w:rPr>
        <w:t xml:space="preserve">Monday, </w:t>
      </w:r>
      <w:r w:rsidR="00BE5471">
        <w:rPr>
          <w:b/>
          <w:bCs/>
        </w:rPr>
        <w:t xml:space="preserve">______________ </w:t>
      </w:r>
      <w:r w:rsidR="008B569C">
        <w:rPr>
          <w:b/>
          <w:bCs/>
        </w:rPr>
        <w:t>at</w:t>
      </w:r>
      <w:r w:rsidR="00BE5471">
        <w:rPr>
          <w:b/>
          <w:bCs/>
        </w:rPr>
        <w:t xml:space="preserve"> ________</w:t>
      </w:r>
      <w:r w:rsidR="008B569C">
        <w:rPr>
          <w:b/>
          <w:bCs/>
        </w:rPr>
        <w:t xml:space="preserve"> a.m.</w:t>
      </w:r>
      <w:r w:rsidR="003E3431">
        <w:rPr>
          <w:b/>
          <w:bCs/>
        </w:rPr>
        <w:t xml:space="preserve"> </w:t>
      </w:r>
      <w:r w:rsidR="0052794D" w:rsidRPr="0052794D">
        <w:rPr>
          <w:bCs/>
        </w:rPr>
        <w:t>before Judge Keith Kyle</w:t>
      </w:r>
      <w:r w:rsidR="0052794D">
        <w:rPr>
          <w:b/>
          <w:bCs/>
        </w:rPr>
        <w:t xml:space="preserve"> </w:t>
      </w:r>
      <w:r w:rsidR="0052794D" w:rsidRPr="0052794D">
        <w:rPr>
          <w:bCs/>
        </w:rPr>
        <w:t xml:space="preserve">at the Lee County Justice Center, 1700 Monroe Street, Fort Myers, Florida 33901, </w:t>
      </w:r>
      <w:proofErr w:type="gramStart"/>
      <w:r w:rsidR="0052794D" w:rsidRPr="0052794D">
        <w:rPr>
          <w:bCs/>
        </w:rPr>
        <w:t>Courtroom</w:t>
      </w:r>
      <w:proofErr w:type="gramEnd"/>
      <w:r w:rsidR="0052794D" w:rsidRPr="0052794D">
        <w:rPr>
          <w:bCs/>
        </w:rPr>
        <w:t xml:space="preserve"> 4P.</w:t>
      </w:r>
      <w:r w:rsidR="0052794D">
        <w:rPr>
          <w:b/>
          <w:bCs/>
        </w:rPr>
        <w:t xml:space="preserve">  </w:t>
      </w:r>
      <w:r w:rsidR="008B569C">
        <w:t>The zoom link for thi</w:t>
      </w:r>
      <w:r>
        <w:t>s case management conference is:</w:t>
      </w:r>
    </w:p>
    <w:p w:rsidR="00BE24E2" w:rsidRDefault="00BE24E2" w:rsidP="00BE24E2">
      <w:pPr>
        <w:widowControl/>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s>
        <w:jc w:val="both"/>
        <w:rPr>
          <w:sz w:val="24"/>
          <w:szCs w:val="24"/>
        </w:rPr>
      </w:pPr>
    </w:p>
    <w:p w:rsidR="00BE24E2" w:rsidRDefault="008B569C" w:rsidP="0052794D">
      <w:pPr>
        <w:widowControl/>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s>
        <w:ind w:left="720"/>
        <w:jc w:val="center"/>
        <w:rPr>
          <w:sz w:val="24"/>
          <w:szCs w:val="24"/>
        </w:rPr>
      </w:pPr>
      <w:r>
        <w:rPr>
          <w:sz w:val="24"/>
          <w:szCs w:val="24"/>
        </w:rPr>
        <w:t>(</w:t>
      </w:r>
      <w:hyperlink r:id="rId7" w:history="1">
        <w:r>
          <w:rPr>
            <w:rStyle w:val="SYSHYPERTEXT"/>
            <w:color w:val="0563C1"/>
            <w:sz w:val="24"/>
            <w:szCs w:val="24"/>
          </w:rPr>
          <w:t>https://zoom.us/j/95818196610?pwd=dVpjdVg5Z3p0WTdNWHNNM1pEeWpsUT09</w:t>
        </w:r>
      </w:hyperlink>
      <w:r>
        <w:rPr>
          <w:sz w:val="24"/>
          <w:szCs w:val="24"/>
        </w:rPr>
        <w:t xml:space="preserve"> Meeting ID: 958 1819 6610 Passcode: 965021).</w:t>
      </w:r>
    </w:p>
    <w:p w:rsidR="00BE24E2" w:rsidRDefault="00BE24E2" w:rsidP="0052794D">
      <w:pPr>
        <w:widowControl/>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s>
        <w:jc w:val="center"/>
        <w:rPr>
          <w:sz w:val="24"/>
          <w:szCs w:val="24"/>
        </w:rPr>
      </w:pPr>
    </w:p>
    <w:p w:rsidR="008B569C" w:rsidRDefault="008B569C" w:rsidP="00A159D0">
      <w:pPr>
        <w:pStyle w:val="levnl12"/>
        <w:widowControl/>
        <w:numPr>
          <w:ilvl w:val="0"/>
          <w:numId w:val="1"/>
        </w:numPr>
        <w:tabs>
          <w:tab w:val="clear" w:pos="-1440"/>
          <w:tab w:val="clear" w:pos="-720"/>
          <w:tab w:val="clear" w:pos="0"/>
          <w:tab w:val="clear" w:pos="720"/>
          <w:tab w:val="left" w:pos="1080"/>
        </w:tabs>
        <w:ind w:left="1080"/>
      </w:pPr>
      <w:r>
        <w:t>If new counsel is obtained by Plaintiff,</w:t>
      </w:r>
      <w:r w:rsidR="003E3431">
        <w:t xml:space="preserve"> </w:t>
      </w:r>
      <w:r w:rsidR="00BE5471">
        <w:t>_________________</w:t>
      </w:r>
      <w:r>
        <w:t xml:space="preserve">, the new counsel must file a notice of appearance prior to the Case Management Conference scheduled for </w:t>
      </w:r>
      <w:r>
        <w:rPr>
          <w:b/>
          <w:bCs/>
        </w:rPr>
        <w:t xml:space="preserve">Monday, </w:t>
      </w:r>
      <w:r w:rsidR="00BE5471">
        <w:rPr>
          <w:b/>
          <w:bCs/>
        </w:rPr>
        <w:t xml:space="preserve">____________ </w:t>
      </w:r>
      <w:r>
        <w:rPr>
          <w:b/>
          <w:bCs/>
        </w:rPr>
        <w:t xml:space="preserve">at </w:t>
      </w:r>
      <w:r w:rsidR="00BE5471">
        <w:rPr>
          <w:b/>
          <w:bCs/>
        </w:rPr>
        <w:t>_______</w:t>
      </w:r>
      <w:r>
        <w:rPr>
          <w:b/>
          <w:bCs/>
        </w:rPr>
        <w:t xml:space="preserve"> a.m.</w:t>
      </w:r>
      <w:r>
        <w:t xml:space="preserve"> and appear by zoom. If Plaintiff,</w:t>
      </w:r>
      <w:r w:rsidR="003E3431">
        <w:t xml:space="preserve"> </w:t>
      </w:r>
      <w:r w:rsidR="00BE5471">
        <w:t>_______________________</w:t>
      </w:r>
      <w:r>
        <w:t>, or new counsel if retained by him do not appear at the Case Management Conference, then this case will be dismissed without prejudice and will be subject to taxation of costs.</w:t>
      </w:r>
    </w:p>
    <w:p w:rsidR="008B569C" w:rsidRPr="00BE24E2" w:rsidRDefault="008B569C" w:rsidP="00BE24E2">
      <w:pPr>
        <w:widowControl/>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s>
      </w:pPr>
      <w:r>
        <w:rPr>
          <w:sz w:val="24"/>
          <w:szCs w:val="24"/>
        </w:rPr>
        <w:tab/>
      </w:r>
    </w:p>
    <w:p w:rsidR="00B74D42" w:rsidRDefault="008B569C" w:rsidP="003E3431">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rPr>
          <w:sz w:val="24"/>
          <w:szCs w:val="24"/>
        </w:rPr>
      </w:pPr>
      <w:r>
        <w:rPr>
          <w:sz w:val="24"/>
          <w:szCs w:val="24"/>
        </w:rPr>
        <w:t xml:space="preserve">DONE AND ORDERED in Chambers, Fort Myers, Lee County, </w:t>
      </w:r>
      <w:proofErr w:type="gramStart"/>
      <w:r>
        <w:rPr>
          <w:sz w:val="24"/>
          <w:szCs w:val="24"/>
        </w:rPr>
        <w:t>Florida</w:t>
      </w:r>
      <w:proofErr w:type="gramEnd"/>
      <w:r w:rsidR="003E3431">
        <w:rPr>
          <w:sz w:val="24"/>
          <w:szCs w:val="24"/>
        </w:rPr>
        <w:t>.</w:t>
      </w:r>
    </w:p>
    <w:p w:rsidR="00B74D42" w:rsidRDefault="00B74D42" w:rsidP="00B74D42">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B74D42" w:rsidRDefault="00B74D42" w:rsidP="00BE24E2">
      <w:pPr>
        <w:widowControl/>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rPr>
          <w:sz w:val="24"/>
          <w:szCs w:val="24"/>
        </w:rPr>
      </w:pPr>
    </w:p>
    <w:p w:rsidR="008B569C" w:rsidRDefault="008B569C" w:rsidP="00BE24E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p>
    <w:p w:rsidR="00BE24E2" w:rsidRDefault="00BE24E2" w:rsidP="00BE24E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r>
        <w:rPr>
          <w:sz w:val="24"/>
          <w:szCs w:val="24"/>
        </w:rPr>
        <w:t>Via U.S. Mail:</w:t>
      </w:r>
    </w:p>
    <w:p w:rsidR="008B569C" w:rsidRDefault="008B569C" w:rsidP="00BE24E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p>
    <w:p w:rsidR="0052794D" w:rsidRDefault="0052794D" w:rsidP="00BE24E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p>
    <w:p w:rsidR="0052794D" w:rsidRPr="0052794D" w:rsidRDefault="0052794D" w:rsidP="0052794D">
      <w:pPr>
        <w:jc w:val="both"/>
        <w:rPr>
          <w:b/>
          <w:sz w:val="28"/>
          <w:szCs w:val="28"/>
        </w:rPr>
      </w:pPr>
      <w:r w:rsidRPr="0052794D">
        <w:rPr>
          <w:b/>
          <w:sz w:val="28"/>
          <w:szCs w:val="28"/>
        </w:rPr>
        <w:t xml:space="preserve">If you are a person with a disability who needs any accommodation in order to participate in this proceeding, you are entitled, at no cost to </w:t>
      </w:r>
      <w:bookmarkStart w:id="0" w:name="_GoBack"/>
      <w:bookmarkEnd w:id="0"/>
      <w:r w:rsidRPr="0052794D">
        <w:rPr>
          <w:b/>
          <w:sz w:val="28"/>
          <w:szCs w:val="28"/>
        </w:rPr>
        <w:t xml:space="preserve">you, to the provision of certain assistance. </w:t>
      </w:r>
      <w:proofErr w:type="gramStart"/>
      <w:r w:rsidRPr="0052794D">
        <w:rPr>
          <w:b/>
          <w:sz w:val="28"/>
          <w:szCs w:val="28"/>
        </w:rPr>
        <w:t>Please contact Brooke Dean, Operations Division Manager, whose office is located at Lee County Justice Center, 1700 Monroe Street, Fort Myers, FL 33901, and whose telephone number is (239) 533-1771, at least 7 days before your scheduled court appearance, or immediately upon receiving this notification if the time before the scheduled appearance is less than 7 days; if you are hearing or voice impaired, call 711.</w:t>
      </w:r>
      <w:proofErr w:type="gramEnd"/>
      <w:r w:rsidRPr="0052794D">
        <w:rPr>
          <w:b/>
          <w:sz w:val="28"/>
          <w:szCs w:val="28"/>
        </w:rPr>
        <w:t xml:space="preserve"> </w:t>
      </w:r>
    </w:p>
    <w:p w:rsidR="0052794D" w:rsidRDefault="0052794D" w:rsidP="00BE24E2">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sz w:val="24"/>
          <w:szCs w:val="24"/>
        </w:rPr>
      </w:pPr>
    </w:p>
    <w:sectPr w:rsidR="0052794D">
      <w:headerReference w:type="even" r:id="rId8"/>
      <w:headerReference w:type="default" r:id="rId9"/>
      <w:footerReference w:type="even" r:id="rId10"/>
      <w:footerReference w:type="default" r:id="rId11"/>
      <w:headerReference w:type="first" r:id="rId12"/>
      <w:footerReference w:type="first" r:id="rId13"/>
      <w:type w:val="continuous"/>
      <w:pgSz w:w="12240" w:h="15840"/>
      <w:pgMar w:top="999" w:right="1440" w:bottom="1998" w:left="1440"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AF5" w:rsidRDefault="00EC4AF5">
      <w:r>
        <w:separator/>
      </w:r>
    </w:p>
  </w:endnote>
  <w:endnote w:type="continuationSeparator" w:id="0">
    <w:p w:rsidR="00EC4AF5" w:rsidRDefault="00EC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9C" w:rsidRDefault="008B569C">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9C" w:rsidRDefault="008B569C">
    <w:pPr>
      <w:widowControl/>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9C" w:rsidRDefault="008B569C">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AF5" w:rsidRDefault="00EC4AF5">
      <w:r>
        <w:separator/>
      </w:r>
    </w:p>
  </w:footnote>
  <w:footnote w:type="continuationSeparator" w:id="0">
    <w:p w:rsidR="00EC4AF5" w:rsidRDefault="00EC4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9C" w:rsidRDefault="008B569C">
    <w:pPr>
      <w:widowControl/>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9C" w:rsidRDefault="008B569C">
    <w:pPr>
      <w:widowControl/>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69C" w:rsidRDefault="008B569C">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F0718"/>
    <w:multiLevelType w:val="multilevel"/>
    <w:tmpl w:val="B72E090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1"/>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E2"/>
    <w:rsid w:val="00266B1A"/>
    <w:rsid w:val="003E3431"/>
    <w:rsid w:val="0052794D"/>
    <w:rsid w:val="00626916"/>
    <w:rsid w:val="008B569C"/>
    <w:rsid w:val="00924C45"/>
    <w:rsid w:val="00A159D0"/>
    <w:rsid w:val="00AB73A3"/>
    <w:rsid w:val="00B74D42"/>
    <w:rsid w:val="00BE24E2"/>
    <w:rsid w:val="00BE5471"/>
    <w:rsid w:val="00CE3660"/>
    <w:rsid w:val="00EC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ECC8D"/>
  <w14:defaultImageDpi w14:val="0"/>
  <w15:docId w15:val="{B4BEF2BF-58D5-445A-A4BF-35129AAF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nl12">
    <w:name w:val="_levnl1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2">
    <w:name w:val="_levnl2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2">
    <w:name w:val="_levnl3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2">
    <w:name w:val="_levnl4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2">
    <w:name w:val="_levnl5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2">
    <w:name w:val="_levnl6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2">
    <w:name w:val="_levnl7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2">
    <w:name w:val="_levnl8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2">
    <w:name w:val="_levnl9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2">
    <w:name w:val="_level1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2">
    <w:name w:val="_level2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2">
    <w:name w:val="_level3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2">
    <w:name w:val="_level4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2">
    <w:name w:val="_level5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2">
    <w:name w:val="_level6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2">
    <w:name w:val="_level7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2">
    <w:name w:val="_level8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2">
    <w:name w:val="_level9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sl12">
    <w:name w:val="_levsl1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2">
    <w:name w:val="_levsl2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2">
    <w:name w:val="_levsl3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2">
    <w:name w:val="_levsl4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2">
    <w:name w:val="_levsl5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2">
    <w:name w:val="_levsl6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2">
    <w:name w:val="_levsl7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2">
    <w:name w:val="_levsl8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2">
    <w:name w:val="_levsl9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Pr>
      <w:sz w:val="20"/>
    </w:rPr>
  </w:style>
  <w:style w:type="paragraph" w:customStyle="1" w:styleId="levnl11">
    <w:name w:val="_levnl1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1">
    <w:name w:val="_levnl21"/>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1">
    <w:name w:val="_levnl31"/>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1">
    <w:name w:val="_levnl4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1">
    <w:name w:val="_levnl5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1">
    <w:name w:val="_levnl6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1">
    <w:name w:val="_levnl7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1">
    <w:name w:val="_levnl8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1">
    <w:name w:val="_levnl9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1">
    <w:name w:val="_level1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1">
    <w:name w:val="_level21"/>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1">
    <w:name w:val="_level31"/>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1">
    <w:name w:val="_level4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1">
    <w:name w:val="_level5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1">
    <w:name w:val="_level6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1">
    <w:name w:val="_level7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1">
    <w:name w:val="_level8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1">
    <w:name w:val="_level9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sl11">
    <w:name w:val="_levsl1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1">
    <w:name w:val="_levsl21"/>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1">
    <w:name w:val="_levsl31"/>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1">
    <w:name w:val="_levsl4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1">
    <w:name w:val="_levsl5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1">
    <w:name w:val="_levsl6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1">
    <w:name w:val="_levsl7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1">
    <w:name w:val="_levsl8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1">
    <w:name w:val="_levsl9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2">
    <w:name w:val="Default Para2"/>
    <w:uiPriority w:val="99"/>
    <w:rPr>
      <w:sz w:val="20"/>
    </w:rPr>
  </w:style>
  <w:style w:type="paragraph" w:customStyle="1" w:styleId="level1">
    <w:name w:val="_level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sl1">
    <w:name w:val="_levsl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1">
    <w:name w:val="Default Para1"/>
    <w:uiPriority w:val="99"/>
    <w:rPr>
      <w:sz w:val="20"/>
    </w:rPr>
  </w:style>
  <w:style w:type="character" w:customStyle="1" w:styleId="FootnoteRef">
    <w:name w:val="Footnote Ref"/>
    <w:uiPriority w:val="99"/>
  </w:style>
  <w:style w:type="character" w:customStyle="1" w:styleId="FootnoteRef2">
    <w:name w:val="Footnote Ref2"/>
    <w:uiPriority w:val="99"/>
  </w:style>
  <w:style w:type="character" w:customStyle="1" w:styleId="FootnoteRef1">
    <w:name w:val="Footnote Ref1"/>
    <w:uiPriority w:val="99"/>
  </w:style>
  <w:style w:type="paragraph" w:customStyle="1" w:styleId="Level10">
    <w:name w:val="Level 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WPFooter">
    <w:name w:val="WP_Footer"/>
    <w:uiPriority w:val="99"/>
    <w:pPr>
      <w:widowControl w:val="0"/>
      <w:tabs>
        <w:tab w:val="center" w:pos="4320"/>
        <w:tab w:val="right" w:pos="8640"/>
        <w:tab w:val="left" w:pos="9358"/>
      </w:tabs>
      <w:autoSpaceDE w:val="0"/>
      <w:autoSpaceDN w:val="0"/>
      <w:adjustRightInd w:val="0"/>
      <w:spacing w:after="0" w:line="240" w:lineRule="auto"/>
      <w:jc w:val="both"/>
    </w:pPr>
    <w:rPr>
      <w:rFonts w:ascii="Times New Roman" w:hAnsi="Times New Roman"/>
      <w:sz w:val="24"/>
      <w:szCs w:val="24"/>
    </w:rPr>
  </w:style>
  <w:style w:type="character" w:customStyle="1" w:styleId="WPPageNumb">
    <w:name w:val="WP_Page Numb"/>
    <w:uiPriority w:val="99"/>
  </w:style>
  <w:style w:type="paragraph" w:customStyle="1" w:styleId="26">
    <w:name w:val="_26"/>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 w:val="left" w:pos="9358"/>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 w:val="left" w:pos="9358"/>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 w:val="left" w:pos="9358"/>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 w:val="left" w:pos="9358"/>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 w:val="left" w:pos="9358"/>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 w:val="left" w:pos="9358"/>
      </w:tabs>
      <w:autoSpaceDE w:val="0"/>
      <w:autoSpaceDN w:val="0"/>
      <w:adjustRightInd w:val="0"/>
      <w:spacing w:after="0" w:line="240" w:lineRule="auto"/>
      <w:ind w:left="6480"/>
      <w:jc w:val="both"/>
    </w:pPr>
    <w:rPr>
      <w:rFonts w:ascii="Times New Roman" w:hAnsi="Times New Roman"/>
      <w:sz w:val="24"/>
      <w:szCs w:val="24"/>
    </w:rPr>
  </w:style>
  <w:style w:type="character" w:styleId="Hyperlink">
    <w:name w:val="Hyperlink"/>
    <w:basedOn w:val="DefaultParagraphFont"/>
    <w:uiPriority w:val="99"/>
    <w:rPr>
      <w:rFonts w:cs="Times New Roman"/>
      <w:color w:val="0563C1"/>
      <w:u w:val="single"/>
    </w:rPr>
  </w:style>
  <w:style w:type="paragraph" w:customStyle="1" w:styleId="ListParagra">
    <w:name w:val="List Paragra"/>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jc w:val="both"/>
    </w:pPr>
    <w:rPr>
      <w:rFonts w:ascii="Times New Roman" w:hAnsi="Times New Roman"/>
      <w:sz w:val="24"/>
      <w:szCs w:val="24"/>
    </w:rPr>
  </w:style>
  <w:style w:type="character" w:customStyle="1" w:styleId="SYSHYPERTEXT">
    <w:name w:val="SYS_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oom.us/j/95818196610?pwd=dVpjdVg5Z3p0WTdNWHNNM1pEeWpsUT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722</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Sara Kate</dc:creator>
  <cp:keywords/>
  <dc:description/>
  <cp:lastModifiedBy>Mas, Sara Kate</cp:lastModifiedBy>
  <cp:revision>6</cp:revision>
  <dcterms:created xsi:type="dcterms:W3CDTF">2021-12-22T13:58:00Z</dcterms:created>
  <dcterms:modified xsi:type="dcterms:W3CDTF">2024-03-21T12:46:00Z</dcterms:modified>
</cp:coreProperties>
</file>