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64" w:rsidRPr="00960C46" w:rsidRDefault="00B94364" w:rsidP="00B94364">
      <w:pPr>
        <w:tabs>
          <w:tab w:val="center" w:pos="4680"/>
          <w:tab w:val="right" w:pos="9360"/>
        </w:tabs>
        <w:jc w:val="center"/>
        <w:rPr>
          <w:rFonts w:eastAsia="Times New Roman"/>
          <w:sz w:val="24"/>
          <w:szCs w:val="24"/>
        </w:rPr>
      </w:pPr>
      <w:r w:rsidRPr="00960C46">
        <w:rPr>
          <w:rFonts w:eastAsia="Times New Roman"/>
          <w:sz w:val="24"/>
          <w:szCs w:val="24"/>
        </w:rPr>
        <w:t>IN THE CIRCUIT COURT OF THE TWENTIETH JUDICIAL CIRCUIT IN AND FOR</w:t>
      </w:r>
    </w:p>
    <w:p w:rsidR="00B94364" w:rsidRPr="00960C46" w:rsidRDefault="00B94364" w:rsidP="00B94364">
      <w:pPr>
        <w:tabs>
          <w:tab w:val="center" w:pos="4680"/>
          <w:tab w:val="right" w:pos="9270"/>
        </w:tabs>
        <w:jc w:val="both"/>
        <w:rPr>
          <w:rFonts w:eastAsia="Times New Roman"/>
          <w:sz w:val="24"/>
          <w:szCs w:val="24"/>
        </w:rPr>
      </w:pPr>
      <w:r w:rsidRPr="00960C46">
        <w:rPr>
          <w:rFonts w:eastAsia="Times New Roman"/>
          <w:sz w:val="24"/>
          <w:szCs w:val="24"/>
        </w:rPr>
        <w:t>CHARLOTTE COUNTY, FLORIDA</w:t>
      </w:r>
      <w:r w:rsidRPr="00960C46">
        <w:rPr>
          <w:rFonts w:eastAsia="Times New Roman"/>
          <w:sz w:val="24"/>
          <w:szCs w:val="24"/>
        </w:rPr>
        <w:tab/>
      </w:r>
      <w:r w:rsidRPr="00960C46">
        <w:rPr>
          <w:rFonts w:eastAsia="Times New Roman"/>
          <w:sz w:val="24"/>
          <w:szCs w:val="24"/>
        </w:rPr>
        <w:tab/>
        <w:t>PROBATE ACTION</w:t>
      </w: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 xml:space="preserve">IN RE: THE </w:t>
      </w:r>
      <w:r w:rsidRPr="00960C46">
        <w:rPr>
          <w:sz w:val="24"/>
          <w:szCs w:val="24"/>
        </w:rPr>
        <w:t>ESTATE OF</w:t>
      </w: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</w:p>
    <w:p w:rsidR="00B94364" w:rsidRPr="00960C46" w:rsidRDefault="00B94364" w:rsidP="00B9436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1" w:lineRule="auto"/>
        <w:ind w:left="8640" w:hanging="8640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No.: </w:t>
      </w:r>
      <w:r w:rsidRPr="00960C46">
        <w:rPr>
          <w:sz w:val="24"/>
          <w:szCs w:val="24"/>
        </w:rPr>
        <w:t>CP</w:t>
      </w:r>
    </w:p>
    <w:p w:rsidR="00B94364" w:rsidRPr="00960C46" w:rsidRDefault="00B94364" w:rsidP="00B94364">
      <w:pPr>
        <w:widowControl/>
        <w:spacing w:line="231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Deceased.</w:t>
      </w:r>
    </w:p>
    <w:p w:rsidR="00B94364" w:rsidRPr="00960C46" w:rsidRDefault="00B94364" w:rsidP="00B94364">
      <w:pPr>
        <w:tabs>
          <w:tab w:val="center" w:pos="4680"/>
          <w:tab w:val="right" w:pos="9360"/>
        </w:tabs>
        <w:jc w:val="both"/>
        <w:rPr>
          <w:rFonts w:eastAsia="Times New Roman"/>
          <w:sz w:val="24"/>
          <w:szCs w:val="24"/>
        </w:rPr>
      </w:pPr>
      <w:r w:rsidRPr="00960C46">
        <w:rPr>
          <w:rFonts w:eastAsia="Times New Roman"/>
          <w:sz w:val="24"/>
          <w:szCs w:val="24"/>
        </w:rPr>
        <w:t>_______________________________________/</w:t>
      </w:r>
    </w:p>
    <w:p w:rsidR="007D63F1" w:rsidRPr="007D63F1" w:rsidRDefault="007D63F1" w:rsidP="00DE76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21" w:lineRule="auto"/>
        <w:jc w:val="both"/>
        <w:rPr>
          <w:sz w:val="24"/>
          <w:szCs w:val="24"/>
        </w:rPr>
      </w:pPr>
    </w:p>
    <w:p w:rsidR="001E20C4" w:rsidRPr="007D63F1" w:rsidRDefault="00165628" w:rsidP="00DE763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line="221" w:lineRule="auto"/>
        <w:jc w:val="center"/>
        <w:rPr>
          <w:b/>
          <w:bCs/>
          <w:sz w:val="24"/>
          <w:szCs w:val="24"/>
          <w:u w:val="single"/>
        </w:rPr>
      </w:pPr>
      <w:r w:rsidRPr="007D63F1">
        <w:rPr>
          <w:b/>
          <w:bCs/>
          <w:sz w:val="24"/>
          <w:szCs w:val="24"/>
          <w:u w:val="single"/>
        </w:rPr>
        <w:t xml:space="preserve">REPORT AND RECOMMENDATION OF THE </w:t>
      </w:r>
      <w:r w:rsidR="00994A2D" w:rsidRPr="007D63F1">
        <w:rPr>
          <w:b/>
          <w:bCs/>
          <w:sz w:val="24"/>
          <w:szCs w:val="24"/>
          <w:u w:val="single"/>
        </w:rPr>
        <w:t xml:space="preserve">GENERAL </w:t>
      </w:r>
      <w:r w:rsidRPr="007D63F1">
        <w:rPr>
          <w:b/>
          <w:bCs/>
          <w:sz w:val="24"/>
          <w:szCs w:val="24"/>
          <w:u w:val="single"/>
        </w:rPr>
        <w:t>MAGISTRATE</w:t>
      </w:r>
    </w:p>
    <w:p w:rsidR="00427D97" w:rsidRPr="007D63F1" w:rsidRDefault="00427D97" w:rsidP="00DE7632">
      <w:pPr>
        <w:pStyle w:val="17"/>
        <w:widowControl/>
        <w:tabs>
          <w:tab w:val="clear" w:pos="0"/>
          <w:tab w:val="left" w:pos="9360"/>
          <w:tab w:val="right" w:pos="9446"/>
        </w:tabs>
        <w:spacing w:line="221" w:lineRule="auto"/>
      </w:pPr>
    </w:p>
    <w:p w:rsidR="005B04A1" w:rsidRPr="00C11395" w:rsidRDefault="005B04A1" w:rsidP="005B04A1">
      <w:pPr>
        <w:widowControl/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 xml:space="preserve">THIS CAUSE came before the undersigned General Magistrate, Robert F. Koch presiding, for a hearing on </w:t>
      </w:r>
      <w:r w:rsidRPr="00C11395">
        <w:rPr>
          <w:color w:val="FF0000"/>
          <w:sz w:val="24"/>
          <w:szCs w:val="24"/>
          <w:u w:val="single"/>
        </w:rPr>
        <w:t>(FILL IN DATE</w:t>
      </w:r>
      <w:r>
        <w:rPr>
          <w:color w:val="FF0000"/>
          <w:sz w:val="24"/>
          <w:szCs w:val="24"/>
          <w:u w:val="single"/>
        </w:rPr>
        <w:t xml:space="preserve"> OF HEARING</w:t>
      </w:r>
      <w:r w:rsidRPr="00C11395">
        <w:rPr>
          <w:color w:val="FF0000"/>
          <w:sz w:val="24"/>
          <w:szCs w:val="24"/>
          <w:u w:val="single"/>
        </w:rPr>
        <w:t xml:space="preserve"> AND UNDERLINE)</w:t>
      </w:r>
      <w:r w:rsidRPr="00C11395">
        <w:rPr>
          <w:sz w:val="24"/>
          <w:szCs w:val="24"/>
        </w:rPr>
        <w:t xml:space="preserve"> on the following: </w:t>
      </w:r>
      <w:r w:rsidRPr="00C11395">
        <w:rPr>
          <w:color w:val="FF0000"/>
          <w:sz w:val="24"/>
          <w:szCs w:val="24"/>
          <w:u w:val="single"/>
        </w:rPr>
        <w:t>(FILL IN MOTION AND UNDERLINE)</w:t>
      </w:r>
      <w:r w:rsidRPr="00C11395">
        <w:rPr>
          <w:sz w:val="24"/>
          <w:szCs w:val="24"/>
        </w:rPr>
        <w:t>.</w:t>
      </w: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bookmarkStart w:id="0" w:name="Check1"/>
      <w:r>
        <w:rPr>
          <w:sz w:val="24"/>
          <w:szCs w:val="24"/>
        </w:rPr>
        <w:t>Present:</w:t>
      </w:r>
      <w:r>
        <w:rPr>
          <w:sz w:val="24"/>
          <w:szCs w:val="24"/>
        </w:rPr>
        <w:tab/>
      </w:r>
      <w:r w:rsidRPr="00C1139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bookmarkEnd w:id="0"/>
      <w:r w:rsidR="00716161">
        <w:rPr>
          <w:sz w:val="24"/>
          <w:szCs w:val="24"/>
        </w:rPr>
        <w:t xml:space="preserve"> </w:t>
      </w:r>
      <w:r w:rsidRPr="00C11395">
        <w:rPr>
          <w:sz w:val="24"/>
          <w:szCs w:val="24"/>
        </w:rPr>
        <w:t>Petitioner</w:t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tab/>
      </w:r>
      <w:r w:rsidRPr="00C1139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Pr="00C11395">
        <w:rPr>
          <w:sz w:val="24"/>
          <w:szCs w:val="24"/>
        </w:rPr>
        <w:t>Respondent</w:t>
      </w:r>
    </w:p>
    <w:p w:rsidR="005B04A1" w:rsidRPr="00C11395" w:rsidRDefault="00B94364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r>
        <w:rPr>
          <w:sz w:val="24"/>
          <w:szCs w:val="24"/>
        </w:rPr>
        <w:t>In person</w:t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04A1"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="005B04A1"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="005B04A1" w:rsidRPr="00C11395">
        <w:rPr>
          <w:sz w:val="24"/>
          <w:szCs w:val="24"/>
        </w:rPr>
        <w:t>Counsel for Petitioner</w:t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04A1"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="005B04A1"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="005B04A1" w:rsidRPr="00C11395">
        <w:rPr>
          <w:sz w:val="24"/>
          <w:szCs w:val="24"/>
        </w:rPr>
        <w:t>Counsel for Respondent</w:t>
      </w:r>
    </w:p>
    <w:p w:rsidR="005B04A1" w:rsidRPr="003D1FD2" w:rsidRDefault="00B94364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color w:val="FF0000"/>
          <w:sz w:val="24"/>
          <w:szCs w:val="24"/>
        </w:rPr>
      </w:pPr>
      <w:r w:rsidRPr="00C11395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Pr="00C11395">
        <w:rPr>
          <w:sz w:val="24"/>
          <w:szCs w:val="24"/>
        </w:rPr>
        <w:fldChar w:fldCharType="end"/>
      </w:r>
      <w:r>
        <w:rPr>
          <w:sz w:val="24"/>
          <w:szCs w:val="24"/>
        </w:rPr>
        <w:t>Via Zoom</w:t>
      </w:r>
      <w:r w:rsidR="005B04A1" w:rsidRPr="00C11395">
        <w:rPr>
          <w:sz w:val="24"/>
          <w:szCs w:val="24"/>
        </w:rPr>
        <w:tab/>
      </w:r>
      <w:r w:rsidR="005B04A1" w:rsidRPr="00C1139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04A1" w:rsidRPr="00C11395">
        <w:rPr>
          <w:sz w:val="24"/>
          <w:szCs w:val="24"/>
        </w:rPr>
        <w:instrText xml:space="preserve"> FORMCHECKBOX </w:instrText>
      </w:r>
      <w:r w:rsidR="00EA1497">
        <w:rPr>
          <w:sz w:val="24"/>
          <w:szCs w:val="24"/>
        </w:rPr>
      </w:r>
      <w:r w:rsidR="00EA1497">
        <w:rPr>
          <w:sz w:val="24"/>
          <w:szCs w:val="24"/>
        </w:rPr>
        <w:fldChar w:fldCharType="separate"/>
      </w:r>
      <w:r w:rsidR="005B04A1" w:rsidRPr="00C11395">
        <w:rPr>
          <w:sz w:val="24"/>
          <w:szCs w:val="24"/>
        </w:rPr>
        <w:fldChar w:fldCharType="end"/>
      </w:r>
      <w:r w:rsidR="00716161">
        <w:rPr>
          <w:sz w:val="24"/>
          <w:szCs w:val="24"/>
        </w:rPr>
        <w:t xml:space="preserve"> </w:t>
      </w:r>
      <w:r w:rsidR="005B04A1" w:rsidRPr="00C11395">
        <w:rPr>
          <w:sz w:val="24"/>
          <w:szCs w:val="24"/>
        </w:rPr>
        <w:t>Other</w:t>
      </w:r>
      <w:r w:rsidR="005B04A1">
        <w:rPr>
          <w:sz w:val="24"/>
          <w:szCs w:val="24"/>
        </w:rPr>
        <w:t xml:space="preserve"> </w:t>
      </w:r>
      <w:r w:rsidR="005B04A1" w:rsidRPr="003D1FD2">
        <w:rPr>
          <w:color w:val="FF0000"/>
          <w:sz w:val="24"/>
          <w:szCs w:val="24"/>
        </w:rPr>
        <w:t>(DOUBLE CLICK BOX TO SELECT APPROPRIATE PARTY PRESENT)</w:t>
      </w: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bookmarkStart w:id="1" w:name="_GoBack"/>
      <w:bookmarkEnd w:id="1"/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>The</w:t>
      </w:r>
      <w:r>
        <w:rPr>
          <w:sz w:val="24"/>
          <w:szCs w:val="24"/>
        </w:rPr>
        <w:t xml:space="preserve"> General</w:t>
      </w:r>
      <w:r w:rsidRPr="00C11395">
        <w:rPr>
          <w:sz w:val="24"/>
          <w:szCs w:val="24"/>
        </w:rPr>
        <w:t xml:space="preserve"> Magistrate has jurisdiction over this proceeding pursuant to the Order of Referral dated </w:t>
      </w:r>
      <w:r w:rsidRPr="003D1FD2">
        <w:rPr>
          <w:color w:val="FF0000"/>
          <w:sz w:val="24"/>
          <w:szCs w:val="24"/>
          <w:u w:val="single"/>
        </w:rPr>
        <w:t>(FILL IN DATE OF ORDER OF REFERRAL AND UNDERLINE)</w:t>
      </w:r>
      <w:r w:rsidRPr="00C11395">
        <w:rPr>
          <w:sz w:val="24"/>
          <w:szCs w:val="24"/>
        </w:rPr>
        <w:t xml:space="preserve">.  No objection to the Order of Referral to the </w:t>
      </w:r>
      <w:r>
        <w:rPr>
          <w:sz w:val="24"/>
          <w:szCs w:val="24"/>
        </w:rPr>
        <w:t xml:space="preserve">General </w:t>
      </w:r>
      <w:r w:rsidRPr="00C11395">
        <w:rPr>
          <w:sz w:val="24"/>
          <w:szCs w:val="24"/>
        </w:rPr>
        <w:t>Magistrate was made.</w:t>
      </w: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5B04A1" w:rsidRPr="00C11395" w:rsidRDefault="005B04A1" w:rsidP="005B04A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C11395">
        <w:rPr>
          <w:sz w:val="24"/>
          <w:szCs w:val="24"/>
        </w:rPr>
        <w:tab/>
        <w:t>Having reviewed the record and being otherwise fully advised in the premises, the General Magistrate makes the following Findings of Fact, Conclusions of Law, and Recommendations:</w:t>
      </w:r>
    </w:p>
    <w:p w:rsidR="005B04A1" w:rsidRPr="00C11395" w:rsidRDefault="005B04A1" w:rsidP="005B04A1">
      <w:pPr>
        <w:pStyle w:val="17"/>
        <w:widowControl/>
        <w:tabs>
          <w:tab w:val="clear" w:pos="0"/>
          <w:tab w:val="left" w:pos="9360"/>
          <w:tab w:val="right" w:pos="9446"/>
        </w:tabs>
        <w:spacing w:line="221" w:lineRule="auto"/>
      </w:pPr>
    </w:p>
    <w:p w:rsidR="005B04A1" w:rsidRPr="003D1FD2" w:rsidRDefault="005B04A1" w:rsidP="005B04A1">
      <w:pPr>
        <w:pStyle w:val="NoSpacing"/>
        <w:numPr>
          <w:ilvl w:val="0"/>
          <w:numId w:val="5"/>
        </w:numPr>
        <w:jc w:val="both"/>
        <w:rPr>
          <w:szCs w:val="24"/>
        </w:rPr>
      </w:pPr>
      <w:r w:rsidRPr="00C11395">
        <w:rPr>
          <w:color w:val="FF0000"/>
          <w:szCs w:val="24"/>
        </w:rPr>
        <w:t>(FILL IN FINDINGS, CONCLUSIONS, AND RECOMMENDATIONS)</w:t>
      </w:r>
    </w:p>
    <w:p w:rsidR="005B04A1" w:rsidRDefault="005B04A1" w:rsidP="005B04A1">
      <w:pPr>
        <w:pStyle w:val="NoSpacing"/>
        <w:ind w:left="720"/>
        <w:jc w:val="both"/>
        <w:rPr>
          <w:color w:val="FF0000"/>
          <w:szCs w:val="24"/>
        </w:rPr>
      </w:pPr>
    </w:p>
    <w:p w:rsidR="005B04A1" w:rsidRPr="003D1FD2" w:rsidRDefault="005B04A1" w:rsidP="005B04A1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</w:rPr>
      </w:pPr>
      <w:r w:rsidRPr="003D1FD2">
        <w:rPr>
          <w:b/>
          <w:color w:val="FF0000"/>
          <w:sz w:val="24"/>
          <w:szCs w:val="24"/>
        </w:rPr>
        <w:t xml:space="preserve">(CHOOSE ONLY </w:t>
      </w:r>
      <w:r w:rsidRPr="003D1FD2">
        <w:rPr>
          <w:b/>
          <w:color w:val="FF0000"/>
          <w:sz w:val="24"/>
          <w:szCs w:val="24"/>
          <w:u w:val="single"/>
        </w:rPr>
        <w:t>ONE</w:t>
      </w:r>
      <w:r w:rsidRPr="003D1FD2">
        <w:rPr>
          <w:b/>
          <w:color w:val="FF0000"/>
          <w:sz w:val="24"/>
          <w:szCs w:val="24"/>
        </w:rPr>
        <w:t xml:space="preserve"> OF THE FOLLOWING TWO OPTIONS BELOW REGARDING EXCEPTIONS.  DELETE THE OPTION NOT SELECTED)</w:t>
      </w:r>
    </w:p>
    <w:p w:rsidR="005B04A1" w:rsidRPr="00C11395" w:rsidRDefault="005B04A1" w:rsidP="005B04A1">
      <w:pPr>
        <w:pStyle w:val="NoSpacing"/>
        <w:ind w:left="720"/>
        <w:jc w:val="both"/>
        <w:rPr>
          <w:szCs w:val="24"/>
        </w:rPr>
      </w:pPr>
    </w:p>
    <w:p w:rsidR="007D63F1" w:rsidRPr="007D63F1" w:rsidRDefault="005B04A1" w:rsidP="005B04A1">
      <w:pPr>
        <w:pStyle w:val="NoSpacing"/>
        <w:numPr>
          <w:ilvl w:val="0"/>
          <w:numId w:val="5"/>
        </w:numPr>
        <w:ind w:left="0" w:firstLine="360"/>
        <w:jc w:val="both"/>
        <w:rPr>
          <w:szCs w:val="24"/>
        </w:rPr>
      </w:pPr>
      <w:r w:rsidRPr="00C11395">
        <w:rPr>
          <w:szCs w:val="24"/>
        </w:rPr>
        <w:t xml:space="preserve">The parties </w:t>
      </w:r>
      <w:r w:rsidRPr="00C11395">
        <w:rPr>
          <w:b/>
          <w:szCs w:val="24"/>
        </w:rPr>
        <w:t>waive</w:t>
      </w:r>
      <w:r>
        <w:rPr>
          <w:szCs w:val="24"/>
        </w:rPr>
        <w:t xml:space="preserve"> the fifteen (15) day</w:t>
      </w:r>
      <w:r w:rsidRPr="00C11395">
        <w:rPr>
          <w:szCs w:val="24"/>
        </w:rPr>
        <w:t xml:space="preserve"> exceptions period pursuant to Rule</w:t>
      </w:r>
      <w:r w:rsidR="007D63F1" w:rsidRPr="007D63F1">
        <w:rPr>
          <w:szCs w:val="24"/>
        </w:rPr>
        <w:t xml:space="preserve"> 5.095(h) of the </w:t>
      </w:r>
      <w:r w:rsidR="007D63F1" w:rsidRPr="007D63F1">
        <w:rPr>
          <w:i/>
          <w:szCs w:val="24"/>
        </w:rPr>
        <w:t>Florida Probate Rules</w:t>
      </w:r>
      <w:r w:rsidR="007D63F1" w:rsidRPr="007D63F1">
        <w:rPr>
          <w:szCs w:val="24"/>
        </w:rPr>
        <w:t xml:space="preserve"> and the procedures set forth in said Rule.</w:t>
      </w:r>
    </w:p>
    <w:p w:rsidR="005B04A1" w:rsidRPr="005B04A1" w:rsidRDefault="005B04A1" w:rsidP="005B04A1">
      <w:pPr>
        <w:jc w:val="both"/>
        <w:rPr>
          <w:color w:val="FF0000"/>
          <w:sz w:val="24"/>
        </w:rPr>
      </w:pPr>
      <w:r w:rsidRPr="005B04A1">
        <w:rPr>
          <w:color w:val="FF0000"/>
          <w:sz w:val="24"/>
        </w:rPr>
        <w:t>[OR]</w:t>
      </w:r>
    </w:p>
    <w:p w:rsidR="007D63F1" w:rsidRPr="007D63F1" w:rsidRDefault="007D63F1" w:rsidP="007D63F1">
      <w:pPr>
        <w:pStyle w:val="NoSpacing"/>
        <w:numPr>
          <w:ilvl w:val="0"/>
          <w:numId w:val="5"/>
        </w:numPr>
        <w:jc w:val="both"/>
        <w:rPr>
          <w:szCs w:val="24"/>
        </w:rPr>
      </w:pPr>
      <w:r w:rsidRPr="007D63F1">
        <w:rPr>
          <w:szCs w:val="24"/>
        </w:rPr>
        <w:t xml:space="preserve">The parties </w:t>
      </w:r>
      <w:r w:rsidRPr="007D63F1">
        <w:rPr>
          <w:b/>
          <w:szCs w:val="24"/>
        </w:rPr>
        <w:t>retain</w:t>
      </w:r>
      <w:r w:rsidRPr="007D63F1">
        <w:rPr>
          <w:szCs w:val="24"/>
        </w:rPr>
        <w:t xml:space="preserve"> the exceptions period to the General Magistrate’s Report.</w:t>
      </w:r>
    </w:p>
    <w:p w:rsidR="00DE7632" w:rsidRPr="007D63F1" w:rsidRDefault="00DE7632" w:rsidP="007D63F1">
      <w:pPr>
        <w:pStyle w:val="NoSpacing"/>
        <w:jc w:val="both"/>
        <w:rPr>
          <w:szCs w:val="24"/>
        </w:rPr>
      </w:pPr>
      <w:r w:rsidRPr="007D63F1">
        <w:rPr>
          <w:szCs w:val="24"/>
        </w:rPr>
        <w:tab/>
        <w:t xml:space="preserve">Within fifteen (15) days from the date that this Report and Recommendations of the </w:t>
      </w:r>
      <w:r w:rsidR="007D63F1" w:rsidRPr="007D63F1">
        <w:rPr>
          <w:szCs w:val="24"/>
        </w:rPr>
        <w:t xml:space="preserve">General </w:t>
      </w:r>
      <w:r w:rsidRPr="007D63F1">
        <w:rPr>
          <w:szCs w:val="24"/>
        </w:rPr>
        <w:t xml:space="preserve">Magistrate is sent to persons set forth below, either party may file an exception to this Report and Recommendations of the </w:t>
      </w:r>
      <w:r w:rsidR="007D63F1" w:rsidRPr="007D63F1">
        <w:rPr>
          <w:szCs w:val="24"/>
        </w:rPr>
        <w:t xml:space="preserve">General </w:t>
      </w:r>
      <w:r w:rsidRPr="007D63F1">
        <w:rPr>
          <w:szCs w:val="24"/>
        </w:rPr>
        <w:t xml:space="preserve">Magistrate pursuant to Rule 5.095(h) of the </w:t>
      </w:r>
      <w:r w:rsidRPr="007D63F1">
        <w:rPr>
          <w:i/>
          <w:szCs w:val="24"/>
        </w:rPr>
        <w:t>Florida Probate Rules</w:t>
      </w:r>
      <w:r w:rsidRPr="007D63F1">
        <w:rPr>
          <w:szCs w:val="24"/>
        </w:rPr>
        <w:t xml:space="preserve"> and the procedures set forth in said Rule.  This 15 days includes a 10 day period allowed for the parties to file such exceptions and a 5-day mail period.  After 15 days, the Circuit Court will execute an Order adopting this Report and Recommendations of the </w:t>
      </w:r>
      <w:r w:rsidR="007D63F1" w:rsidRPr="007D63F1">
        <w:rPr>
          <w:szCs w:val="24"/>
        </w:rPr>
        <w:t xml:space="preserve">General </w:t>
      </w:r>
      <w:r w:rsidRPr="007D63F1">
        <w:rPr>
          <w:szCs w:val="24"/>
        </w:rPr>
        <w:t>Magistrate and said Order shall be final at that time.</w:t>
      </w:r>
    </w:p>
    <w:p w:rsidR="00FD1C77" w:rsidRPr="007D63F1" w:rsidRDefault="00FD1C77" w:rsidP="007D63F1">
      <w:pPr>
        <w:pStyle w:val="NoSpacing"/>
        <w:rPr>
          <w:szCs w:val="24"/>
        </w:rPr>
      </w:pPr>
    </w:p>
    <w:p w:rsidR="007D63F1" w:rsidRPr="007D63F1" w:rsidRDefault="007D63F1" w:rsidP="007D63F1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spacing w:line="221" w:lineRule="auto"/>
      </w:pPr>
      <w:r w:rsidRPr="007D63F1">
        <w:tab/>
        <w:t>WHEREFORE, the General Magistrate files this Report with the Clerk of the Circuit Court and recommends entry of an Order approving same.</w:t>
      </w: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46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46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46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  <w:u w:val="single"/>
        </w:rPr>
      </w:pP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  <w:t>____________________________________</w:t>
      </w: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  <w:t>Robert F. Koch</w:t>
      </w: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  <w:t>General Magistrate</w:t>
      </w: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</w:r>
      <w:r w:rsidRPr="007D63F1">
        <w:rPr>
          <w:sz w:val="24"/>
          <w:szCs w:val="24"/>
        </w:rPr>
        <w:tab/>
        <w:t>Twentieth Judicial Circuit</w:t>
      </w: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7D63F1" w:rsidRPr="007D63F1" w:rsidRDefault="007D63F1" w:rsidP="007D63F1">
      <w:pPr>
        <w:widowControl/>
        <w:numPr>
          <w:ilvl w:val="12"/>
          <w:numId w:val="0"/>
        </w:num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1" w:lineRule="auto"/>
        <w:jc w:val="both"/>
        <w:rPr>
          <w:sz w:val="24"/>
          <w:szCs w:val="24"/>
        </w:rPr>
      </w:pPr>
    </w:p>
    <w:p w:rsidR="00DA704E" w:rsidRPr="0019644A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  <w:r w:rsidRPr="0019644A">
        <w:t>Service List:</w:t>
      </w:r>
    </w:p>
    <w:p w:rsidR="00DA704E" w:rsidRPr="00B41694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>
        <w:rPr>
          <w:color w:val="FF0000"/>
        </w:rPr>
        <w:t>[</w:t>
      </w:r>
      <w:r w:rsidRPr="00B41694">
        <w:rPr>
          <w:color w:val="FF0000"/>
        </w:rPr>
        <w:t>John Doe, Esq. &lt;johndoe@court.com&gt;</w:t>
      </w:r>
    </w:p>
    <w:p w:rsidR="00DA704E" w:rsidRPr="00B41694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  <w:rPr>
          <w:color w:val="FF0000"/>
        </w:rPr>
      </w:pPr>
      <w:r w:rsidRPr="00B41694">
        <w:rPr>
          <w:color w:val="FF0000"/>
        </w:rPr>
        <w:t>Jane Smith, 123 Elm Street, Anywhere, FL 12345</w:t>
      </w:r>
      <w:r>
        <w:rPr>
          <w:color w:val="FF0000"/>
        </w:rPr>
        <w:t>]</w:t>
      </w:r>
    </w:p>
    <w:p w:rsidR="00DA704E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Pr="00C11395" w:rsidRDefault="00DA704E" w:rsidP="00DA704E">
      <w:pPr>
        <w:pStyle w:val="17"/>
        <w:widowControl/>
        <w:numPr>
          <w:ilvl w:val="12"/>
          <w:numId w:val="0"/>
        </w:numPr>
        <w:tabs>
          <w:tab w:val="clear" w:pos="0"/>
          <w:tab w:val="left" w:pos="9360"/>
          <w:tab w:val="right" w:pos="9446"/>
        </w:tabs>
      </w:pPr>
    </w:p>
    <w:p w:rsidR="00DA704E" w:rsidRPr="003D1FD2" w:rsidRDefault="00DA704E" w:rsidP="00DA704E">
      <w:pPr>
        <w:widowControl/>
        <w:numPr>
          <w:ilvl w:val="12"/>
          <w:numId w:val="0"/>
        </w:num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24"/>
        </w:rPr>
        <w:t xml:space="preserve">[PLEASE REMOVE ANY RED </w:t>
      </w:r>
      <w:r w:rsidRPr="003D1FD2">
        <w:rPr>
          <w:b/>
          <w:color w:val="FF0000"/>
          <w:sz w:val="44"/>
          <w:szCs w:val="52"/>
        </w:rPr>
        <w:t>DIRECTIVES BEFORE SUBMITTING</w:t>
      </w:r>
    </w:p>
    <w:p w:rsidR="00DA704E" w:rsidRPr="000424C3" w:rsidRDefault="00DA704E" w:rsidP="00DA704E">
      <w:pPr>
        <w:jc w:val="center"/>
        <w:rPr>
          <w:b/>
          <w:color w:val="FF0000"/>
          <w:sz w:val="44"/>
          <w:szCs w:val="52"/>
        </w:rPr>
      </w:pPr>
      <w:r w:rsidRPr="003D1FD2">
        <w:rPr>
          <w:b/>
          <w:color w:val="FF0000"/>
          <w:sz w:val="44"/>
          <w:szCs w:val="52"/>
        </w:rPr>
        <w:t>AND REVIEW FORMATTING TO FIX ANY ODD, NATURAL PAGE BREAKS BY ADDING OR REMOVING ANY UNNECESSARY SPACES OR HARD RETURNS.]</w:t>
      </w:r>
    </w:p>
    <w:p w:rsidR="0019115B" w:rsidRDefault="0019115B" w:rsidP="0019115B">
      <w:pPr>
        <w:widowControl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3" w:lineRule="auto"/>
        <w:jc w:val="both"/>
      </w:pPr>
    </w:p>
    <w:sectPr w:rsidR="0019115B" w:rsidSect="00E24ADE">
      <w:headerReference w:type="even" r:id="rId7"/>
      <w:type w:val="continuous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97" w:rsidRDefault="00EA1497" w:rsidP="0019115B">
      <w:r>
        <w:separator/>
      </w:r>
    </w:p>
  </w:endnote>
  <w:endnote w:type="continuationSeparator" w:id="0">
    <w:p w:rsidR="00EA1497" w:rsidRDefault="00EA1497" w:rsidP="0019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97" w:rsidRDefault="00EA1497" w:rsidP="0019115B">
      <w:r>
        <w:separator/>
      </w:r>
    </w:p>
  </w:footnote>
  <w:footnote w:type="continuationSeparator" w:id="0">
    <w:p w:rsidR="00EA1497" w:rsidRDefault="00EA1497" w:rsidP="0019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43" w:rsidRPr="007C3D2F" w:rsidRDefault="00D46B43" w:rsidP="00D46B43">
    <w:pPr>
      <w:pStyle w:val="Header"/>
      <w:jc w:val="right"/>
      <w:rPr>
        <w:color w:val="FF0000"/>
      </w:rPr>
    </w:pPr>
    <w:r>
      <w:rPr>
        <w:color w:val="FF0000"/>
      </w:rPr>
      <w:t>22-123CP</w:t>
    </w:r>
  </w:p>
  <w:p w:rsidR="00D46B43" w:rsidRPr="007C3D2F" w:rsidRDefault="00D46B43" w:rsidP="00D46B43">
    <w:pPr>
      <w:pStyle w:val="Header"/>
      <w:jc w:val="right"/>
      <w:rPr>
        <w:color w:val="FF0000"/>
      </w:rPr>
    </w:pPr>
    <w:r>
      <w:rPr>
        <w:color w:val="FF0000"/>
      </w:rPr>
      <w:t>SMITH V. SMITH</w:t>
    </w:r>
  </w:p>
  <w:p w:rsidR="00D46B43" w:rsidRDefault="00D46B43" w:rsidP="00D46B43">
    <w:pPr>
      <w:pStyle w:val="Header"/>
      <w:jc w:val="right"/>
      <w:rPr>
        <w:color w:val="FF0000"/>
      </w:rPr>
    </w:pPr>
  </w:p>
  <w:p w:rsidR="00D46B43" w:rsidRPr="0075614D" w:rsidRDefault="00D46B43" w:rsidP="00D46B43">
    <w:pPr>
      <w:pStyle w:val="BodyText"/>
    </w:pPr>
    <w:r w:rsidRPr="0075614D">
      <w:t>INCLUDE CASE NO. AND STYLE IN HEADER ON ANY ADDITIONAL PAGES</w:t>
    </w:r>
    <w:r>
      <w:t xml:space="preserve">. </w:t>
    </w:r>
    <w:r w:rsidRPr="0075614D">
      <w:t>DO NOT LEAVE S</w:t>
    </w:r>
    <w:r>
      <w:t>IGNATURE BLOCK ON A PAGE WITHOUT</w:t>
    </w:r>
    <w:r w:rsidRPr="0075614D">
      <w:t xml:space="preserve"> IDENTIFYING INFORMATION TO THE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A29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EB7389"/>
    <w:multiLevelType w:val="hybridMultilevel"/>
    <w:tmpl w:val="A412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15066"/>
    <w:multiLevelType w:val="multilevel"/>
    <w:tmpl w:val="DB3079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4F036E89"/>
    <w:multiLevelType w:val="hybridMultilevel"/>
    <w:tmpl w:val="76484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1853ED"/>
    <w:multiLevelType w:val="hybridMultilevel"/>
    <w:tmpl w:val="FAA2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86D1F"/>
    <w:multiLevelType w:val="multilevel"/>
    <w:tmpl w:val="AEE663D8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1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F"/>
    <w:rsid w:val="0003078F"/>
    <w:rsid w:val="00035FD1"/>
    <w:rsid w:val="00082E4F"/>
    <w:rsid w:val="000C36B6"/>
    <w:rsid w:val="000F1BF5"/>
    <w:rsid w:val="001417B8"/>
    <w:rsid w:val="00154785"/>
    <w:rsid w:val="00155D92"/>
    <w:rsid w:val="00165628"/>
    <w:rsid w:val="00166FD3"/>
    <w:rsid w:val="0019115B"/>
    <w:rsid w:val="001933E3"/>
    <w:rsid w:val="001B7947"/>
    <w:rsid w:val="001D529B"/>
    <w:rsid w:val="001E064B"/>
    <w:rsid w:val="001E20C4"/>
    <w:rsid w:val="00201E6C"/>
    <w:rsid w:val="00207863"/>
    <w:rsid w:val="00250396"/>
    <w:rsid w:val="00277469"/>
    <w:rsid w:val="002B4F9C"/>
    <w:rsid w:val="002C4C5D"/>
    <w:rsid w:val="002C5C33"/>
    <w:rsid w:val="002F040C"/>
    <w:rsid w:val="002F0B5B"/>
    <w:rsid w:val="00301849"/>
    <w:rsid w:val="00340D9A"/>
    <w:rsid w:val="003F286B"/>
    <w:rsid w:val="00401101"/>
    <w:rsid w:val="00405379"/>
    <w:rsid w:val="00407867"/>
    <w:rsid w:val="0042134F"/>
    <w:rsid w:val="00427D97"/>
    <w:rsid w:val="004500C8"/>
    <w:rsid w:val="004766DD"/>
    <w:rsid w:val="004B6BDF"/>
    <w:rsid w:val="004C7ADF"/>
    <w:rsid w:val="004D1A3D"/>
    <w:rsid w:val="004E2D0A"/>
    <w:rsid w:val="00503CBC"/>
    <w:rsid w:val="00503FA3"/>
    <w:rsid w:val="00563074"/>
    <w:rsid w:val="005B04A1"/>
    <w:rsid w:val="005B6A1C"/>
    <w:rsid w:val="005C499D"/>
    <w:rsid w:val="005D7E34"/>
    <w:rsid w:val="005F2FD0"/>
    <w:rsid w:val="005F47BD"/>
    <w:rsid w:val="005F662A"/>
    <w:rsid w:val="0061174A"/>
    <w:rsid w:val="00644A7A"/>
    <w:rsid w:val="0068600C"/>
    <w:rsid w:val="00691197"/>
    <w:rsid w:val="006E2EBB"/>
    <w:rsid w:val="006F2140"/>
    <w:rsid w:val="00716161"/>
    <w:rsid w:val="00722C5D"/>
    <w:rsid w:val="007B4EF5"/>
    <w:rsid w:val="007D63F1"/>
    <w:rsid w:val="007F113E"/>
    <w:rsid w:val="00823DC0"/>
    <w:rsid w:val="0083494E"/>
    <w:rsid w:val="00883AD9"/>
    <w:rsid w:val="008868F2"/>
    <w:rsid w:val="008B104B"/>
    <w:rsid w:val="00934F7F"/>
    <w:rsid w:val="0095115E"/>
    <w:rsid w:val="00954D68"/>
    <w:rsid w:val="00964CBF"/>
    <w:rsid w:val="00981A35"/>
    <w:rsid w:val="00994A2D"/>
    <w:rsid w:val="009C509C"/>
    <w:rsid w:val="009D50BC"/>
    <w:rsid w:val="009E149A"/>
    <w:rsid w:val="009F496B"/>
    <w:rsid w:val="00A356F9"/>
    <w:rsid w:val="00A46540"/>
    <w:rsid w:val="00A522D6"/>
    <w:rsid w:val="00AE04A0"/>
    <w:rsid w:val="00AF6F4D"/>
    <w:rsid w:val="00B15D15"/>
    <w:rsid w:val="00B30AEE"/>
    <w:rsid w:val="00B43582"/>
    <w:rsid w:val="00B469A8"/>
    <w:rsid w:val="00B82C2A"/>
    <w:rsid w:val="00B94364"/>
    <w:rsid w:val="00BC13CD"/>
    <w:rsid w:val="00BD779E"/>
    <w:rsid w:val="00BE7912"/>
    <w:rsid w:val="00C06AEF"/>
    <w:rsid w:val="00C11395"/>
    <w:rsid w:val="00C167E1"/>
    <w:rsid w:val="00C3472A"/>
    <w:rsid w:val="00C352F5"/>
    <w:rsid w:val="00C35D41"/>
    <w:rsid w:val="00C8776F"/>
    <w:rsid w:val="00CB6185"/>
    <w:rsid w:val="00CD60E2"/>
    <w:rsid w:val="00CE0DE9"/>
    <w:rsid w:val="00D03379"/>
    <w:rsid w:val="00D10279"/>
    <w:rsid w:val="00D36EF3"/>
    <w:rsid w:val="00D46B43"/>
    <w:rsid w:val="00D46D04"/>
    <w:rsid w:val="00D55880"/>
    <w:rsid w:val="00D95AD6"/>
    <w:rsid w:val="00DA3860"/>
    <w:rsid w:val="00DA704E"/>
    <w:rsid w:val="00DD25DF"/>
    <w:rsid w:val="00DE5203"/>
    <w:rsid w:val="00DE7632"/>
    <w:rsid w:val="00DF16C0"/>
    <w:rsid w:val="00DF31BE"/>
    <w:rsid w:val="00E21B28"/>
    <w:rsid w:val="00E24ADE"/>
    <w:rsid w:val="00E32595"/>
    <w:rsid w:val="00E55C71"/>
    <w:rsid w:val="00E93848"/>
    <w:rsid w:val="00EA1497"/>
    <w:rsid w:val="00EB39DC"/>
    <w:rsid w:val="00ED47FC"/>
    <w:rsid w:val="00EF6F75"/>
    <w:rsid w:val="00F35C50"/>
    <w:rsid w:val="00F461FA"/>
    <w:rsid w:val="00F47558"/>
    <w:rsid w:val="00FC6CCB"/>
    <w:rsid w:val="00FD1C77"/>
    <w:rsid w:val="00FD2AAC"/>
    <w:rsid w:val="00FD5B4E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6A410"/>
  <w14:defaultImageDpi w14:val="0"/>
  <w15:docId w15:val="{90412CB2-35F4-4CD3-9B1B-26E05CB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7632"/>
    <w:pPr>
      <w:keepNext/>
      <w:widowControl/>
      <w:overflowPunct w:val="0"/>
      <w:ind w:firstLine="720"/>
      <w:textAlignment w:val="baseline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DE7632"/>
    <w:rPr>
      <w:rFonts w:ascii="Times New Roman" w:hAnsi="Times New Roman" w:cs="Times New Roman"/>
      <w:b/>
      <w:sz w:val="20"/>
      <w:szCs w:val="20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38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2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7632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19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1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115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1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15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6B43"/>
    <w:pPr>
      <w:tabs>
        <w:tab w:val="center" w:pos="4680"/>
        <w:tab w:val="right" w:pos="9360"/>
      </w:tabs>
      <w:jc w:val="right"/>
    </w:pPr>
    <w:rPr>
      <w:color w:val="FF000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46B43"/>
    <w:rPr>
      <w:rFonts w:ascii="Times New Roman" w:hAnsi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sparris</dc:creator>
  <cp:keywords/>
  <dc:description/>
  <cp:lastModifiedBy>Sandrock, Kristy</cp:lastModifiedBy>
  <cp:revision>3</cp:revision>
  <cp:lastPrinted>2014-01-16T13:51:00Z</cp:lastPrinted>
  <dcterms:created xsi:type="dcterms:W3CDTF">2022-09-21T15:25:00Z</dcterms:created>
  <dcterms:modified xsi:type="dcterms:W3CDTF">2022-09-21T15:41:00Z</dcterms:modified>
</cp:coreProperties>
</file>